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316F9D">
      <w:pPr>
        <w:pStyle w:val="TC"/>
        <w:pBdr>
          <w:top w:val="single" w:sz="4" w:space="1" w:color="auto"/>
          <w:left w:val="single" w:sz="4" w:space="4" w:color="auto"/>
          <w:bottom w:val="single" w:sz="4" w:space="1" w:color="auto"/>
          <w:right w:val="single" w:sz="4" w:space="4" w:color="auto"/>
        </w:pBdr>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01645B19" w:rsidR="009347E0" w:rsidRPr="000F298D" w:rsidRDefault="00527867" w:rsidP="00316F9D">
      <w:pPr>
        <w:pStyle w:val="TC"/>
        <w:pBdr>
          <w:top w:val="single" w:sz="4" w:space="1" w:color="auto"/>
          <w:left w:val="single" w:sz="4" w:space="4" w:color="auto"/>
          <w:bottom w:val="single" w:sz="4" w:space="1" w:color="auto"/>
          <w:right w:val="single" w:sz="4" w:space="4" w:color="auto"/>
        </w:pBdr>
        <w:ind w:left="-567" w:right="-567"/>
        <w:rPr>
          <w:rFonts w:ascii="AvenirNext LT Pro Cn" w:hAnsi="AvenirNext LT Pro Cn"/>
          <w:color w:val="auto"/>
          <w:sz w:val="36"/>
          <w:szCs w:val="36"/>
        </w:rPr>
      </w:pPr>
      <w:bookmarkStart w:id="0" w:name="ObjetDeLaProcédure"/>
      <w:r>
        <w:rPr>
          <w:rFonts w:ascii="AvenirNext LT Pro Cn" w:hAnsi="AvenirNext LT Pro Cn" w:cstheme="minorHAnsi"/>
          <w:b w:val="0"/>
          <w:bCs/>
          <w:sz w:val="32"/>
          <w:szCs w:val="32"/>
          <w:highlight w:val="lightGray"/>
        </w:rPr>
        <w:t>Achat d’un équipement de manipulation de liquide sans pipetage en micro et nanovolume pour de l’expérimentation en biologie moléculaire</w:t>
      </w:r>
      <w:bookmarkEnd w:id="0"/>
      <w:r w:rsidRPr="0005348F">
        <w:rPr>
          <w:rFonts w:ascii="AvenirNext LT Pro Cn" w:hAnsi="AvenirNext LT Pro Cn" w:cstheme="minorHAnsi"/>
          <w:bCs/>
          <w:sz w:val="32"/>
          <w:szCs w:val="32"/>
          <w:highlight w:val="lightGray"/>
        </w:rPr>
        <w:t xml:space="preserve"> </w:t>
      </w:r>
      <w:r w:rsidRPr="0005348F">
        <w:rPr>
          <w:rFonts w:ascii="AvenirNext LT Pro Cn" w:hAnsi="AvenirNext LT Pro Cn" w:cstheme="minorHAnsi"/>
          <w:bCs/>
          <w:sz w:val="32"/>
          <w:szCs w:val="32"/>
        </w:rPr>
        <w:t xml:space="preserve"> </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bookmarkStart w:id="1" w:name="_GoBack"/>
      <w:bookmarkEnd w:id="1"/>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 xml:space="preserve">NOM DU SOUMISSIONNAIRE :…………………………………….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lastRenderedPageBreak/>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soumissionnaire est invité à intégrer les compléments aux différentes rubriques du cadre de réponse qu’il juge utiles sous forme d’annexes. Tous les chapitres et rubriques afférentes du présent document sont obligatoires.</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72A75252"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1 – VALEUR TECHNIQUE -  </w:t>
      </w:r>
      <w:r w:rsidR="003A1FF7">
        <w:rPr>
          <w:rFonts w:ascii="AvenirNext LT Pro Cn" w:hAnsi="AvenirNext LT Pro Cn"/>
          <w:b/>
          <w:sz w:val="36"/>
          <w:szCs w:val="36"/>
        </w:rPr>
        <w:t>50</w:t>
      </w:r>
      <w:r w:rsidRPr="000F298D">
        <w:rPr>
          <w:rFonts w:ascii="AvenirNext LT Pro Cn" w:hAnsi="AvenirNext LT Pro Cn"/>
          <w:b/>
          <w:sz w:val="36"/>
          <w:szCs w:val="36"/>
        </w:rPr>
        <w:t>%</w:t>
      </w:r>
    </w:p>
    <w:p w14:paraId="2B3E6338" w14:textId="26A88C43" w:rsidR="00AA7AD2" w:rsidRPr="00672AA7" w:rsidRDefault="00662906" w:rsidP="00672AA7">
      <w:pPr>
        <w:pStyle w:val="Paragraphedeliste"/>
        <w:ind w:left="0"/>
        <w:jc w:val="both"/>
        <w:rPr>
          <w:rFonts w:ascii="AvenirNext LT Pro Cn" w:hAnsi="AvenirNext LT Pro Cn"/>
        </w:rPr>
      </w:pPr>
      <w:r w:rsidRPr="000F298D">
        <w:rPr>
          <w:rFonts w:ascii="AvenirNext LT Pro Cn" w:hAnsi="AvenirNext LT Pro Cn"/>
        </w:rPr>
        <w:t>Le soumissionnaire présente dans cette partie</w:t>
      </w:r>
      <w:r w:rsidR="00672AA7">
        <w:rPr>
          <w:rFonts w:ascii="AvenirNext LT Pro Cn" w:hAnsi="AvenirNext LT Pro Cn"/>
        </w:rPr>
        <w:t xml:space="preserve"> l</w:t>
      </w:r>
      <w:r w:rsidR="00AA7AD2" w:rsidRPr="00672AA7">
        <w:rPr>
          <w:rFonts w:ascii="AvenirNext LT Pro Cn" w:hAnsi="AvenirNext LT Pro Cn" w:cstheme="minorHAnsi"/>
          <w:bCs/>
        </w:rPr>
        <w:t xml:space="preserve">e matériel proposé et ses caractéristiques techniques dont notamment : </w:t>
      </w:r>
    </w:p>
    <w:p w14:paraId="13711AD0" w14:textId="015D3B26" w:rsidR="00AA7AD2" w:rsidRPr="006D7746"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u w:val="single"/>
        </w:rPr>
      </w:pPr>
      <w:r w:rsidRPr="006D7746">
        <w:rPr>
          <w:rFonts w:ascii="AvenirNext LT Pro Cn" w:hAnsi="AvenirNext LT Pro Cn" w:cstheme="minorHAnsi"/>
          <w:bCs/>
          <w:u w:val="single"/>
        </w:rPr>
        <w:t>Les performances de l’équipement</w:t>
      </w:r>
    </w:p>
    <w:p w14:paraId="5D644383" w14:textId="072A57AA" w:rsidR="004353A1" w:rsidRPr="004353A1" w:rsidRDefault="00672AA7" w:rsidP="004353A1">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sidRPr="00672AA7">
        <w:rPr>
          <w:rFonts w:ascii="AvenirNext LT Pro Cn" w:hAnsi="AvenirNext LT Pro Cn" w:cstheme="minorHAnsi"/>
          <w:bCs/>
        </w:rPr>
        <w:t>Viscosité maximale des liquides manipulables</w:t>
      </w:r>
    </w:p>
    <w:p w14:paraId="2DC1E9ED" w14:textId="20957226" w:rsidR="00672AA7" w:rsidRPr="00672AA7" w:rsidRDefault="00672AA7"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sidRPr="00672AA7">
        <w:rPr>
          <w:rFonts w:ascii="AvenirNext LT Pro Cn" w:hAnsi="AvenirNext LT Pro Cn" w:cstheme="minorHAnsi"/>
          <w:bCs/>
        </w:rPr>
        <w:t>Volume mort</w:t>
      </w:r>
      <w:r w:rsidR="004353A1">
        <w:rPr>
          <w:rFonts w:ascii="AvenirNext LT Pro Cn" w:hAnsi="AvenirNext LT Pro Cn" w:cstheme="minorHAnsi"/>
          <w:bCs/>
        </w:rPr>
        <w:t xml:space="preserve"> (pour des plaques au format 96 puits et 384 puits)</w:t>
      </w:r>
    </w:p>
    <w:p w14:paraId="18861874" w14:textId="7E71DC29" w:rsidR="00672AA7" w:rsidRDefault="00672AA7"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sidRPr="00672AA7">
        <w:rPr>
          <w:rFonts w:ascii="AvenirNext LT Pro Cn" w:hAnsi="AvenirNext LT Pro Cn" w:cstheme="minorHAnsi"/>
          <w:bCs/>
        </w:rPr>
        <w:t>Volume minimal de liquide manipulable</w:t>
      </w:r>
    </w:p>
    <w:p w14:paraId="71181511" w14:textId="4E447645" w:rsidR="004353A1" w:rsidRDefault="004353A1"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Précision de pipetage à 50 nanolitres (erreur moyenne et variance)</w:t>
      </w:r>
    </w:p>
    <w:p w14:paraId="337A0C22" w14:textId="34F1C079" w:rsidR="004353A1" w:rsidRPr="00672AA7" w:rsidRDefault="004353A1"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Mesure du volume effectivement distribué ?</w:t>
      </w:r>
    </w:p>
    <w:p w14:paraId="36141982" w14:textId="7EE3BDF9" w:rsidR="00672AA7" w:rsidRPr="00672AA7" w:rsidRDefault="00672AA7"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sidRPr="00672AA7">
        <w:rPr>
          <w:rFonts w:ascii="AvenirNext LT Pro Cn" w:hAnsi="AvenirNext LT Pro Cn" w:cstheme="minorHAnsi"/>
          <w:bCs/>
        </w:rPr>
        <w:t>Capacité à remplir des plaques au format 96, 384 ou 1536 puits sans modification de l’instrument</w:t>
      </w:r>
    </w:p>
    <w:p w14:paraId="74C4B782" w14:textId="1F3CF867" w:rsidR="00672AA7" w:rsidRDefault="00672AA7"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sidRPr="00672AA7">
        <w:rPr>
          <w:rFonts w:ascii="AvenirNext LT Pro Cn" w:hAnsi="AvenirNext LT Pro Cn" w:cstheme="minorHAnsi"/>
          <w:bCs/>
        </w:rPr>
        <w:t>Vitesse de remplissage : quelle est la durée nécessaire pour remplir les 96 puits d’une plaque 96 avec 1 microlitre de 4 liquides (viscosité identique à l’eau) différents (soit 4 microlitres par puits)</w:t>
      </w:r>
    </w:p>
    <w:p w14:paraId="01125BCB" w14:textId="0BAFCA95" w:rsidR="00672AA7" w:rsidRDefault="00672AA7"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L’instrument permet-il de maintenir les réactifs de la plaque d’origine et de la plaque de destination à 4°C ?</w:t>
      </w:r>
    </w:p>
    <w:p w14:paraId="71FB7F08" w14:textId="02340FE7" w:rsidR="00742EF5" w:rsidRDefault="00742EF5"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Décrire la procédure de calibrage de la manipulation de liquides en fonction de la viscosité, s’il est nécessaire</w:t>
      </w:r>
    </w:p>
    <w:p w14:paraId="2252BDA7" w14:textId="77777777" w:rsidR="00742EF5" w:rsidRDefault="00742EF5" w:rsidP="00742EF5">
      <w:pPr>
        <w:pStyle w:val="Paragraphedeliste"/>
        <w:autoSpaceDE w:val="0"/>
        <w:autoSpaceDN w:val="0"/>
        <w:adjustRightInd w:val="0"/>
        <w:spacing w:after="0" w:line="240" w:lineRule="auto"/>
        <w:ind w:left="284"/>
        <w:jc w:val="both"/>
        <w:rPr>
          <w:rFonts w:ascii="AvenirNext LT Pro Cn" w:hAnsi="AvenirNext LT Pro Cn" w:cstheme="minorHAnsi"/>
          <w:bCs/>
        </w:rPr>
      </w:pPr>
    </w:p>
    <w:p w14:paraId="3D921837" w14:textId="5B427401" w:rsidR="00742EF5" w:rsidRPr="006D7746" w:rsidRDefault="00742EF5" w:rsidP="00742EF5">
      <w:pPr>
        <w:pStyle w:val="Paragraphedeliste"/>
        <w:numPr>
          <w:ilvl w:val="1"/>
          <w:numId w:val="6"/>
        </w:numPr>
        <w:autoSpaceDE w:val="0"/>
        <w:autoSpaceDN w:val="0"/>
        <w:adjustRightInd w:val="0"/>
        <w:spacing w:after="0" w:line="240" w:lineRule="auto"/>
        <w:jc w:val="both"/>
        <w:rPr>
          <w:rFonts w:ascii="AvenirNext LT Pro Cn" w:hAnsi="AvenirNext LT Pro Cn" w:cstheme="minorHAnsi"/>
          <w:bCs/>
          <w:u w:val="single"/>
        </w:rPr>
      </w:pPr>
      <w:r w:rsidRPr="006D7746">
        <w:rPr>
          <w:rFonts w:ascii="AvenirNext LT Pro Cn" w:hAnsi="AvenirNext LT Pro Cn" w:cstheme="minorHAnsi"/>
          <w:bCs/>
          <w:u w:val="single"/>
        </w:rPr>
        <w:t>Environnement de travail</w:t>
      </w:r>
    </w:p>
    <w:p w14:paraId="2EC91B90" w14:textId="470B9F1F" w:rsidR="00742EF5" w:rsidRDefault="00742EF5"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Gamme de température d’utilisation</w:t>
      </w:r>
    </w:p>
    <w:p w14:paraId="23E444CD" w14:textId="627FC25C" w:rsidR="004353A1" w:rsidRPr="004353A1" w:rsidRDefault="004353A1" w:rsidP="004353A1">
      <w:pPr>
        <w:pStyle w:val="Paragraphedeliste"/>
        <w:numPr>
          <w:ilvl w:val="1"/>
          <w:numId w:val="4"/>
        </w:numPr>
        <w:autoSpaceDE w:val="0"/>
        <w:autoSpaceDN w:val="0"/>
        <w:adjustRightInd w:val="0"/>
        <w:spacing w:after="0" w:line="240" w:lineRule="auto"/>
        <w:ind w:left="284" w:hanging="284"/>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p>
    <w:p w14:paraId="76DD04D9" w14:textId="350283AC" w:rsidR="00742EF5" w:rsidRDefault="00742EF5"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Poids et emprise de l’instrument</w:t>
      </w:r>
    </w:p>
    <w:p w14:paraId="3C82336D" w14:textId="3A9A0662" w:rsidR="00742EF5" w:rsidRDefault="00742EF5"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Sensibilité aux vibrations : faut-il prévoir une table anti-vibration ?</w:t>
      </w:r>
    </w:p>
    <w:p w14:paraId="41F3A648" w14:textId="1EDC6820" w:rsidR="00742EF5" w:rsidRPr="00672AA7" w:rsidRDefault="004353A1" w:rsidP="00672AA7">
      <w:pPr>
        <w:pStyle w:val="Paragraphedeliste"/>
        <w:numPr>
          <w:ilvl w:val="1"/>
          <w:numId w:val="4"/>
        </w:numPr>
        <w:autoSpaceDE w:val="0"/>
        <w:autoSpaceDN w:val="0"/>
        <w:adjustRightInd w:val="0"/>
        <w:spacing w:after="0" w:line="240" w:lineRule="auto"/>
        <w:ind w:left="284" w:hanging="284"/>
        <w:jc w:val="both"/>
        <w:rPr>
          <w:rFonts w:ascii="AvenirNext LT Pro Cn" w:hAnsi="AvenirNext LT Pro Cn" w:cstheme="minorHAnsi"/>
          <w:bCs/>
        </w:rPr>
      </w:pPr>
      <w:r>
        <w:rPr>
          <w:rFonts w:ascii="AvenirNext LT Pro Cn" w:hAnsi="AvenirNext LT Pro Cn" w:cstheme="minorHAnsi"/>
          <w:bCs/>
        </w:rPr>
        <w:t>Faut-il fournir du vide ou de l’air comprimé ?</w:t>
      </w:r>
    </w:p>
    <w:p w14:paraId="751E4B44" w14:textId="1945F224" w:rsidR="00AA7AD2" w:rsidRPr="004353A1" w:rsidRDefault="00AA7AD2" w:rsidP="004353A1">
      <w:pPr>
        <w:autoSpaceDE w:val="0"/>
        <w:autoSpaceDN w:val="0"/>
        <w:adjustRightInd w:val="0"/>
        <w:spacing w:after="0" w:line="240" w:lineRule="auto"/>
        <w:jc w:val="both"/>
        <w:rPr>
          <w:rFonts w:ascii="AvenirNext LT Pro Cn" w:hAnsi="AvenirNext LT Pro Cn" w:cstheme="minorHAnsi"/>
          <w:bCs/>
        </w:rPr>
      </w:pPr>
    </w:p>
    <w:p w14:paraId="7985F9CD" w14:textId="0B93D740" w:rsidR="00672AA7" w:rsidRPr="006D7746" w:rsidRDefault="00742EF5"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u w:val="single"/>
        </w:rPr>
      </w:pPr>
      <w:r w:rsidRPr="006D7746">
        <w:rPr>
          <w:rFonts w:ascii="AvenirNext LT Pro Cn" w:hAnsi="AvenirNext LT Pro Cn" w:cstheme="minorHAnsi"/>
          <w:bCs/>
          <w:u w:val="single"/>
        </w:rPr>
        <w:t>C</w:t>
      </w:r>
      <w:r w:rsidR="00672AA7" w:rsidRPr="006D7746">
        <w:rPr>
          <w:rFonts w:ascii="AvenirNext LT Pro Cn" w:hAnsi="AvenirNext LT Pro Cn" w:cstheme="minorHAnsi"/>
          <w:bCs/>
          <w:u w:val="single"/>
        </w:rPr>
        <w:t>onsommables</w:t>
      </w:r>
    </w:p>
    <w:p w14:paraId="7179AFFE" w14:textId="08FEB4A2" w:rsidR="00742EF5" w:rsidRPr="00742EF5" w:rsidRDefault="00742EF5" w:rsidP="00742EF5">
      <w:pPr>
        <w:pStyle w:val="Paragraphedeliste"/>
        <w:numPr>
          <w:ilvl w:val="1"/>
          <w:numId w:val="5"/>
        </w:numPr>
        <w:autoSpaceDE w:val="0"/>
        <w:autoSpaceDN w:val="0"/>
        <w:adjustRightInd w:val="0"/>
        <w:spacing w:after="0" w:line="240" w:lineRule="auto"/>
        <w:ind w:left="284" w:hanging="284"/>
        <w:jc w:val="both"/>
        <w:rPr>
          <w:rFonts w:ascii="AvenirNext LT Pro Cn" w:hAnsi="AvenirNext LT Pro Cn" w:cstheme="minorHAnsi"/>
          <w:bCs/>
        </w:rPr>
      </w:pPr>
      <w:r w:rsidRPr="00742EF5">
        <w:rPr>
          <w:rFonts w:ascii="AvenirNext LT Pro Cn" w:hAnsi="AvenirNext LT Pro Cn" w:cstheme="minorHAnsi"/>
          <w:bCs/>
        </w:rPr>
        <w:t>La liste des composants répondant à la définition de consommables et leur cout unitaire</w:t>
      </w:r>
    </w:p>
    <w:p w14:paraId="407ECBF2" w14:textId="56C57DD8" w:rsidR="00742EF5" w:rsidRPr="00742EF5" w:rsidRDefault="00742EF5" w:rsidP="00742EF5">
      <w:pPr>
        <w:pStyle w:val="Paragraphedeliste"/>
        <w:numPr>
          <w:ilvl w:val="1"/>
          <w:numId w:val="5"/>
        </w:numPr>
        <w:autoSpaceDE w:val="0"/>
        <w:autoSpaceDN w:val="0"/>
        <w:adjustRightInd w:val="0"/>
        <w:spacing w:after="0" w:line="240" w:lineRule="auto"/>
        <w:ind w:left="284" w:hanging="284"/>
        <w:jc w:val="both"/>
        <w:rPr>
          <w:rFonts w:ascii="AvenirNext LT Pro Cn" w:hAnsi="AvenirNext LT Pro Cn" w:cstheme="minorHAnsi"/>
          <w:bCs/>
        </w:rPr>
      </w:pPr>
      <w:r w:rsidRPr="00742EF5">
        <w:rPr>
          <w:rFonts w:ascii="AvenirNext LT Pro Cn" w:hAnsi="AvenirNext LT Pro Cn" w:cstheme="minorHAnsi"/>
          <w:bCs/>
        </w:rPr>
        <w:t xml:space="preserve">Les contenants d’origine des liquides sont-ils spécifiques de l’instrument ou de la gamme d’instruments ? </w:t>
      </w:r>
    </w:p>
    <w:p w14:paraId="7F41AFC1" w14:textId="40240273" w:rsidR="00672AA7" w:rsidRPr="00742EF5" w:rsidRDefault="00742EF5" w:rsidP="00742EF5">
      <w:pPr>
        <w:pStyle w:val="Paragraphedeliste"/>
        <w:numPr>
          <w:ilvl w:val="1"/>
          <w:numId w:val="5"/>
        </w:numPr>
        <w:autoSpaceDE w:val="0"/>
        <w:autoSpaceDN w:val="0"/>
        <w:adjustRightInd w:val="0"/>
        <w:spacing w:after="0" w:line="240" w:lineRule="auto"/>
        <w:ind w:left="284" w:hanging="284"/>
        <w:jc w:val="both"/>
        <w:rPr>
          <w:rFonts w:ascii="AvenirNext LT Pro Cn" w:hAnsi="AvenirNext LT Pro Cn" w:cstheme="minorHAnsi"/>
          <w:bCs/>
        </w:rPr>
      </w:pPr>
      <w:r w:rsidRPr="00742EF5">
        <w:rPr>
          <w:rFonts w:ascii="AvenirNext LT Pro Cn" w:hAnsi="AvenirNext LT Pro Cn" w:cstheme="minorHAnsi"/>
          <w:bCs/>
        </w:rPr>
        <w:t>les contenants de destination des liquides sont-ils de l’instrument ou de la gamme d’instruments ?</w:t>
      </w:r>
    </w:p>
    <w:p w14:paraId="1EC54736" w14:textId="4F5429AB" w:rsidR="00742EF5" w:rsidRPr="00742EF5" w:rsidRDefault="00742EF5" w:rsidP="00742EF5">
      <w:pPr>
        <w:pStyle w:val="Paragraphedeliste"/>
        <w:numPr>
          <w:ilvl w:val="1"/>
          <w:numId w:val="5"/>
        </w:numPr>
        <w:autoSpaceDE w:val="0"/>
        <w:autoSpaceDN w:val="0"/>
        <w:adjustRightInd w:val="0"/>
        <w:spacing w:after="0" w:line="240" w:lineRule="auto"/>
        <w:ind w:left="284" w:hanging="284"/>
        <w:jc w:val="both"/>
        <w:rPr>
          <w:rFonts w:ascii="AvenirNext LT Pro Cn" w:hAnsi="AvenirNext LT Pro Cn" w:cstheme="minorHAnsi"/>
          <w:bCs/>
        </w:rPr>
      </w:pPr>
      <w:r w:rsidRPr="00742EF5">
        <w:rPr>
          <w:rFonts w:ascii="AvenirNext LT Pro Cn" w:hAnsi="AvenirNext LT Pro Cn" w:cstheme="minorHAnsi"/>
          <w:bCs/>
        </w:rPr>
        <w:t>Si oui, prix unitaire d’une plaque 384 puits et d’une plaque 96 puits</w:t>
      </w:r>
    </w:p>
    <w:p w14:paraId="6ACF65DA" w14:textId="11DFB0FE" w:rsidR="00742EF5" w:rsidRDefault="00742EF5" w:rsidP="00742EF5">
      <w:pPr>
        <w:pStyle w:val="Paragraphedeliste"/>
        <w:numPr>
          <w:ilvl w:val="1"/>
          <w:numId w:val="5"/>
        </w:numPr>
        <w:autoSpaceDE w:val="0"/>
        <w:autoSpaceDN w:val="0"/>
        <w:adjustRightInd w:val="0"/>
        <w:spacing w:after="0" w:line="240" w:lineRule="auto"/>
        <w:ind w:left="284" w:hanging="284"/>
        <w:jc w:val="both"/>
        <w:rPr>
          <w:rFonts w:ascii="AvenirNext LT Pro Cn" w:hAnsi="AvenirNext LT Pro Cn" w:cstheme="minorHAnsi"/>
          <w:bCs/>
        </w:rPr>
      </w:pPr>
      <w:r w:rsidRPr="00742EF5">
        <w:rPr>
          <w:rFonts w:ascii="AvenirNext LT Pro Cn" w:hAnsi="AvenirNext LT Pro Cn" w:cstheme="minorHAnsi"/>
          <w:bCs/>
        </w:rPr>
        <w:t>Les puits non utilisés d’une plaque d’origine sont-ils utilisables ultérieurement ?</w:t>
      </w:r>
    </w:p>
    <w:p w14:paraId="4D95ADE7" w14:textId="023D6883" w:rsidR="004353A1" w:rsidRDefault="004353A1" w:rsidP="004353A1">
      <w:pPr>
        <w:pStyle w:val="Paragraphedeliste"/>
        <w:autoSpaceDE w:val="0"/>
        <w:autoSpaceDN w:val="0"/>
        <w:adjustRightInd w:val="0"/>
        <w:spacing w:after="0" w:line="240" w:lineRule="auto"/>
        <w:ind w:left="284"/>
        <w:jc w:val="both"/>
        <w:rPr>
          <w:rFonts w:ascii="AvenirNext LT Pro Cn" w:hAnsi="AvenirNext LT Pro Cn" w:cstheme="minorHAnsi"/>
          <w:bCs/>
        </w:rPr>
      </w:pPr>
    </w:p>
    <w:p w14:paraId="08DF2B28" w14:textId="1F5FC184" w:rsidR="004353A1" w:rsidRPr="006D7746" w:rsidRDefault="004353A1" w:rsidP="004353A1">
      <w:pPr>
        <w:pStyle w:val="Paragraphedeliste"/>
        <w:numPr>
          <w:ilvl w:val="1"/>
          <w:numId w:val="3"/>
        </w:numPr>
        <w:autoSpaceDE w:val="0"/>
        <w:autoSpaceDN w:val="0"/>
        <w:adjustRightInd w:val="0"/>
        <w:spacing w:after="0" w:line="240" w:lineRule="auto"/>
        <w:jc w:val="both"/>
        <w:rPr>
          <w:rFonts w:ascii="AvenirNext LT Pro Cn" w:hAnsi="AvenirNext LT Pro Cn" w:cstheme="minorHAnsi"/>
          <w:bCs/>
          <w:u w:val="single"/>
        </w:rPr>
      </w:pPr>
      <w:r w:rsidRPr="006D7746">
        <w:rPr>
          <w:rFonts w:ascii="AvenirNext LT Pro Cn" w:hAnsi="AvenirNext LT Pro Cn" w:cstheme="minorHAnsi"/>
          <w:bCs/>
          <w:u w:val="single"/>
        </w:rPr>
        <w:t>Ergonomie du logiciel de pilotage</w:t>
      </w:r>
    </w:p>
    <w:p w14:paraId="378FB1AE" w14:textId="21465530" w:rsidR="004353A1" w:rsidRDefault="00D52824" w:rsidP="00D52824">
      <w:pPr>
        <w:pStyle w:val="Paragraphedeliste"/>
        <w:numPr>
          <w:ilvl w:val="0"/>
          <w:numId w:val="3"/>
        </w:num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Log de sortie</w:t>
      </w:r>
    </w:p>
    <w:p w14:paraId="223EE490" w14:textId="1B239998" w:rsidR="00D52824" w:rsidRDefault="00112F5B" w:rsidP="00D52824">
      <w:pPr>
        <w:pStyle w:val="Paragraphedeliste"/>
        <w:numPr>
          <w:ilvl w:val="0"/>
          <w:numId w:val="3"/>
        </w:num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 xml:space="preserve">Possibilité de programmer des </w:t>
      </w:r>
      <w:r w:rsidR="00D52824">
        <w:rPr>
          <w:rFonts w:ascii="AvenirNext LT Pro Cn" w:hAnsi="AvenirNext LT Pro Cn" w:cstheme="minorHAnsi"/>
          <w:bCs/>
        </w:rPr>
        <w:t>Méthodes</w:t>
      </w:r>
    </w:p>
    <w:p w14:paraId="6B0F6DD5" w14:textId="564453AE" w:rsidR="00D52824" w:rsidRDefault="00D52824" w:rsidP="00D52824">
      <w:pPr>
        <w:pStyle w:val="Paragraphedeliste"/>
        <w:numPr>
          <w:ilvl w:val="0"/>
          <w:numId w:val="3"/>
        </w:num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 xml:space="preserve">Suivi </w:t>
      </w:r>
      <w:r w:rsidR="00112F5B">
        <w:rPr>
          <w:rFonts w:ascii="AvenirNext LT Pro Cn" w:hAnsi="AvenirNext LT Pro Cn" w:cstheme="minorHAnsi"/>
          <w:bCs/>
        </w:rPr>
        <w:t>d’</w:t>
      </w:r>
      <w:r>
        <w:rPr>
          <w:rFonts w:ascii="AvenirNext LT Pro Cn" w:hAnsi="AvenirNext LT Pro Cn" w:cstheme="minorHAnsi"/>
          <w:bCs/>
        </w:rPr>
        <w:t>activité en direct</w:t>
      </w:r>
    </w:p>
    <w:p w14:paraId="19270F9D" w14:textId="446337C3" w:rsidR="00D52824" w:rsidRDefault="00D52824" w:rsidP="00D52824">
      <w:pPr>
        <w:pStyle w:val="Paragraphedeliste"/>
        <w:numPr>
          <w:ilvl w:val="0"/>
          <w:numId w:val="3"/>
        </w:num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 xml:space="preserve">Possibilité de pilotage à distance, installation </w:t>
      </w:r>
      <w:r w:rsidR="00112F5B">
        <w:rPr>
          <w:rFonts w:ascii="AvenirNext LT Pro Cn" w:hAnsi="AvenirNext LT Pro Cn" w:cstheme="minorHAnsi"/>
          <w:bCs/>
        </w:rPr>
        <w:t xml:space="preserve">du logiciel de pilotage </w:t>
      </w:r>
      <w:r>
        <w:rPr>
          <w:rFonts w:ascii="AvenirNext LT Pro Cn" w:hAnsi="AvenirNext LT Pro Cn" w:cstheme="minorHAnsi"/>
          <w:bCs/>
        </w:rPr>
        <w:t>sur plusieurs machines (</w:t>
      </w:r>
      <w:r w:rsidR="00112F5B">
        <w:rPr>
          <w:rFonts w:ascii="AvenirNext LT Pro Cn" w:hAnsi="AvenirNext LT Pro Cn" w:cstheme="minorHAnsi"/>
          <w:bCs/>
        </w:rPr>
        <w:t xml:space="preserve">avec le </w:t>
      </w:r>
      <w:r>
        <w:rPr>
          <w:rFonts w:ascii="AvenirNext LT Pro Cn" w:hAnsi="AvenirNext LT Pro Cn" w:cstheme="minorHAnsi"/>
          <w:bCs/>
        </w:rPr>
        <w:t>coût éventuel d</w:t>
      </w:r>
      <w:r w:rsidR="00112F5B">
        <w:rPr>
          <w:rFonts w:ascii="AvenirNext LT Pro Cn" w:hAnsi="AvenirNext LT Pro Cn" w:cstheme="minorHAnsi"/>
          <w:bCs/>
        </w:rPr>
        <w:t>e la</w:t>
      </w:r>
      <w:r>
        <w:rPr>
          <w:rFonts w:ascii="AvenirNext LT Pro Cn" w:hAnsi="AvenirNext LT Pro Cn" w:cstheme="minorHAnsi"/>
          <w:bCs/>
        </w:rPr>
        <w:t xml:space="preserve"> licen</w:t>
      </w:r>
      <w:r w:rsidR="00112F5B">
        <w:rPr>
          <w:rFonts w:ascii="AvenirNext LT Pro Cn" w:hAnsi="AvenirNext LT Pro Cn" w:cstheme="minorHAnsi"/>
          <w:bCs/>
        </w:rPr>
        <w:t>c</w:t>
      </w:r>
      <w:r>
        <w:rPr>
          <w:rFonts w:ascii="AvenirNext LT Pro Cn" w:hAnsi="AvenirNext LT Pro Cn" w:cstheme="minorHAnsi"/>
          <w:bCs/>
        </w:rPr>
        <w:t>e)</w:t>
      </w:r>
    </w:p>
    <w:p w14:paraId="5D84EED2" w14:textId="77777777" w:rsidR="004353A1" w:rsidRPr="00112F5B" w:rsidRDefault="004353A1" w:rsidP="00112F5B">
      <w:pPr>
        <w:autoSpaceDE w:val="0"/>
        <w:autoSpaceDN w:val="0"/>
        <w:adjustRightInd w:val="0"/>
        <w:spacing w:after="0" w:line="240" w:lineRule="auto"/>
        <w:jc w:val="both"/>
        <w:rPr>
          <w:rFonts w:ascii="AvenirNext LT Pro Cn" w:hAnsi="AvenirNext LT Pro Cn" w:cstheme="minorHAnsi"/>
          <w:bCs/>
        </w:rPr>
      </w:pPr>
    </w:p>
    <w:p w14:paraId="0453081A" w14:textId="13FB7FB0" w:rsidR="006D7746" w:rsidRPr="006D7746" w:rsidRDefault="006D7746" w:rsidP="004353A1">
      <w:pPr>
        <w:pStyle w:val="Paragraphedeliste"/>
        <w:numPr>
          <w:ilvl w:val="0"/>
          <w:numId w:val="7"/>
        </w:numPr>
        <w:autoSpaceDE w:val="0"/>
        <w:autoSpaceDN w:val="0"/>
        <w:adjustRightInd w:val="0"/>
        <w:spacing w:after="0" w:line="240" w:lineRule="auto"/>
        <w:ind w:left="1418" w:hanging="284"/>
        <w:jc w:val="both"/>
        <w:rPr>
          <w:rFonts w:ascii="AvenirNext LT Pro Cn" w:hAnsi="AvenirNext LT Pro Cn" w:cstheme="minorHAnsi"/>
          <w:bCs/>
          <w:u w:val="single"/>
        </w:rPr>
      </w:pPr>
      <w:r w:rsidRPr="006D7746">
        <w:rPr>
          <w:rFonts w:ascii="AvenirNext LT Pro Cn" w:hAnsi="AvenirNext LT Pro Cn" w:cstheme="minorHAnsi"/>
          <w:bCs/>
          <w:u w:val="single"/>
        </w:rPr>
        <w:t>Durée de vie</w:t>
      </w:r>
    </w:p>
    <w:p w14:paraId="14974E9E" w14:textId="1C264C8A" w:rsidR="00742EF5" w:rsidRPr="004353A1" w:rsidRDefault="004353A1" w:rsidP="006D7746">
      <w:pPr>
        <w:pStyle w:val="Paragraphedeliste"/>
        <w:numPr>
          <w:ilvl w:val="0"/>
          <w:numId w:val="9"/>
        </w:numPr>
        <w:autoSpaceDE w:val="0"/>
        <w:autoSpaceDN w:val="0"/>
        <w:adjustRightInd w:val="0"/>
        <w:spacing w:after="0" w:line="240" w:lineRule="auto"/>
        <w:ind w:left="284" w:hanging="284"/>
        <w:jc w:val="both"/>
        <w:rPr>
          <w:rFonts w:ascii="AvenirNext LT Pro Cn" w:hAnsi="AvenirNext LT Pro Cn" w:cstheme="minorHAnsi"/>
          <w:bCs/>
        </w:rPr>
      </w:pPr>
      <w:r w:rsidRPr="004353A1">
        <w:rPr>
          <w:rFonts w:ascii="AvenirNext LT Pro Cn" w:hAnsi="AvenirNext LT Pro Cn" w:cstheme="minorHAnsi"/>
          <w:bCs/>
        </w:rPr>
        <w:t>La durée de disponibilité des pièces détachées</w:t>
      </w:r>
    </w:p>
    <w:p w14:paraId="263A6844" w14:textId="77777777" w:rsidR="00AA7AD2" w:rsidRPr="000F298D" w:rsidRDefault="00AA7AD2" w:rsidP="006D7746">
      <w:pPr>
        <w:pStyle w:val="Paragraphedeliste"/>
        <w:numPr>
          <w:ilvl w:val="1"/>
          <w:numId w:val="10"/>
        </w:numPr>
        <w:autoSpaceDE w:val="0"/>
        <w:autoSpaceDN w:val="0"/>
        <w:adjustRightInd w:val="0"/>
        <w:spacing w:after="0" w:line="240" w:lineRule="auto"/>
        <w:ind w:left="284" w:hanging="284"/>
        <w:contextualSpacing w:val="0"/>
        <w:jc w:val="both"/>
        <w:rPr>
          <w:rFonts w:ascii="AvenirNext LT Pro Cn" w:hAnsi="AvenirNext LT Pro Cn" w:cstheme="minorHAnsi"/>
          <w:bCs/>
        </w:rPr>
      </w:pPr>
      <w:r w:rsidRPr="000F298D">
        <w:rPr>
          <w:rFonts w:ascii="AvenirNext LT Pro Cn" w:hAnsi="AvenirNext LT Pro Cn" w:cstheme="minorHAnsi"/>
          <w:bCs/>
        </w:rPr>
        <w:t>La date connue ou probable d’arrêt de fabrication du modèle d’équipement proposé</w:t>
      </w:r>
    </w:p>
    <w:p w14:paraId="29BEB639" w14:textId="77777777" w:rsidR="00AA7AD2" w:rsidRPr="000F298D" w:rsidRDefault="00AA7AD2" w:rsidP="006D7746">
      <w:pPr>
        <w:pStyle w:val="Paragraphedeliste"/>
        <w:numPr>
          <w:ilvl w:val="1"/>
          <w:numId w:val="10"/>
        </w:numPr>
        <w:autoSpaceDE w:val="0"/>
        <w:autoSpaceDN w:val="0"/>
        <w:adjustRightInd w:val="0"/>
        <w:spacing w:after="0" w:line="240" w:lineRule="auto"/>
        <w:ind w:left="284" w:hanging="284"/>
        <w:contextualSpacing w:val="0"/>
        <w:jc w:val="both"/>
        <w:rPr>
          <w:rFonts w:ascii="AvenirNext LT Pro Cn" w:hAnsi="AvenirNext LT Pro Cn" w:cstheme="minorHAnsi"/>
          <w:bCs/>
        </w:rPr>
      </w:pPr>
      <w:r w:rsidRPr="000F298D">
        <w:rPr>
          <w:rFonts w:ascii="AvenirNext LT Pro Cn" w:hAnsi="AvenirNext LT Pro Cn" w:cstheme="minorHAnsi"/>
          <w:bCs/>
        </w:rPr>
        <w:t>Le coût des pièces détachées et des interventions en cas de panne hors période de garantie ou hors contrat de maintenance</w:t>
      </w:r>
    </w:p>
    <w:p w14:paraId="360D98CB" w14:textId="77777777" w:rsidR="00742EF5" w:rsidRPr="00742EF5" w:rsidRDefault="00742EF5" w:rsidP="004353A1">
      <w:pPr>
        <w:autoSpaceDE w:val="0"/>
        <w:autoSpaceDN w:val="0"/>
        <w:adjustRightInd w:val="0"/>
        <w:spacing w:after="0" w:line="240" w:lineRule="auto"/>
        <w:ind w:left="1418" w:hanging="284"/>
        <w:jc w:val="both"/>
        <w:rPr>
          <w:rFonts w:ascii="AvenirNext LT Pro Cn" w:hAnsi="AvenirNext LT Pro Cn" w:cstheme="minorHAnsi"/>
          <w:bCs/>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2A5EFA83"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3A1FF7">
        <w:rPr>
          <w:rFonts w:ascii="AvenirNext LT Pro Cn" w:hAnsi="AvenirNext LT Pro Cn"/>
          <w:b/>
          <w:sz w:val="36"/>
          <w:szCs w:val="36"/>
        </w:rPr>
        <w:t>3</w:t>
      </w:r>
      <w:r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QUALITE DES SERVICES ANNEXES (SAV, GARANTIE ET FORMATION)</w:t>
      </w:r>
      <w:r w:rsidRPr="000F298D">
        <w:rPr>
          <w:rFonts w:ascii="AvenirNext LT Pro Cn" w:hAnsi="AvenirNext LT Pro Cn"/>
          <w:b/>
          <w:sz w:val="36"/>
          <w:szCs w:val="36"/>
        </w:rPr>
        <w:t xml:space="preserve"> -  </w:t>
      </w:r>
      <w:r w:rsidR="00672AA7">
        <w:rPr>
          <w:rFonts w:ascii="AvenirNext LT Pro Cn" w:hAnsi="AvenirNext LT Pro Cn"/>
          <w:b/>
          <w:sz w:val="36"/>
          <w:szCs w:val="36"/>
        </w:rPr>
        <w:t>10</w:t>
      </w:r>
      <w:r w:rsidRPr="000F298D">
        <w:rPr>
          <w:rFonts w:ascii="AvenirNext LT Pro Cn" w:hAnsi="AvenirNext LT Pro Cn"/>
          <w:b/>
          <w:sz w:val="36"/>
          <w:szCs w:val="36"/>
        </w:rPr>
        <w:t>%</w:t>
      </w:r>
    </w:p>
    <w:p w14:paraId="082EA04C" w14:textId="77777777" w:rsidR="00AA7AD2" w:rsidRPr="000F298D" w:rsidRDefault="00AA7AD2" w:rsidP="00AA7AD2">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p>
    <w:p w14:paraId="7FC829F8" w14:textId="77777777" w:rsidR="00AA7AD2" w:rsidRPr="000F298D" w:rsidRDefault="00AA7AD2" w:rsidP="00AA7AD2">
      <w:pPr>
        <w:pStyle w:val="Paragraphedeliste"/>
        <w:numPr>
          <w:ilvl w:val="0"/>
          <w:numId w:val="3"/>
        </w:numPr>
        <w:jc w:val="both"/>
        <w:rPr>
          <w:rFonts w:ascii="AvenirNext LT Pro Cn" w:hAnsi="AvenirNext LT Pro Cn" w:cstheme="minorHAnsi"/>
        </w:rPr>
      </w:pPr>
      <w:r w:rsidRPr="000F298D">
        <w:rPr>
          <w:rFonts w:ascii="AvenirNext LT Pro Cn" w:hAnsi="AvenirNext LT Pro Cn" w:cstheme="minorHAnsi"/>
        </w:rPr>
        <w:t>le contenu des services annexes (SAV, garantie et formation) dont notamment :</w:t>
      </w:r>
    </w:p>
    <w:p w14:paraId="3CFF0F4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modalités de mise en œuvre</w:t>
      </w:r>
    </w:p>
    <w:p w14:paraId="1FFAA85C"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L’expertise du personnel</w:t>
      </w:r>
    </w:p>
    <w:p w14:paraId="6E198B6A" w14:textId="7C708054"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support technique</w:t>
      </w:r>
      <w:r w:rsidR="00112F5B">
        <w:rPr>
          <w:rFonts w:ascii="AvenirNext LT Pro Cn" w:hAnsi="AvenirNext LT Pro Cn" w:cstheme="minorHAnsi"/>
          <w:bCs/>
        </w:rPr>
        <w:t xml:space="preserve"> notamment pour la mise au point de méthodes</w:t>
      </w:r>
    </w:p>
    <w:p w14:paraId="650651F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La provenance des pièces détachées</w:t>
      </w:r>
    </w:p>
    <w:p w14:paraId="3E83B00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conditions de mise à jour des logiciels…</w:t>
      </w:r>
    </w:p>
    <w:p w14:paraId="60F5F2FF" w14:textId="77777777" w:rsidR="00662906" w:rsidRPr="000F298D" w:rsidRDefault="00662906" w:rsidP="00662906">
      <w:pPr>
        <w:rPr>
          <w:rFonts w:ascii="AvenirNext LT Pro Cn" w:hAnsi="AvenirNext LT Pro Cn" w:cstheme="minorHAnsi"/>
          <w:b/>
          <w:sz w:val="36"/>
          <w:szCs w:val="36"/>
        </w:rPr>
      </w:pPr>
    </w:p>
    <w:p w14:paraId="56780783" w14:textId="77777777" w:rsidR="00497735" w:rsidRPr="000F298D" w:rsidRDefault="00497735" w:rsidP="00662906">
      <w:pPr>
        <w:rPr>
          <w:rFonts w:ascii="AvenirNext LT Pro Cn" w:hAnsi="AvenirNext LT Pro Cn" w:cstheme="minorHAnsi"/>
          <w:b/>
          <w:sz w:val="36"/>
          <w:szCs w:val="36"/>
        </w:rPr>
      </w:pPr>
    </w:p>
    <w:p w14:paraId="55C5157D" w14:textId="77777777" w:rsidR="00497735"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04D641A4" w14:textId="30D4AC32" w:rsidR="00497735" w:rsidRPr="000F298D" w:rsidRDefault="00497735" w:rsidP="00497735">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3A1FF7">
        <w:rPr>
          <w:rFonts w:ascii="AvenirNext LT Pro Cn" w:hAnsi="AvenirNext LT Pro Cn"/>
          <w:b/>
          <w:sz w:val="36"/>
          <w:szCs w:val="36"/>
        </w:rPr>
        <w:t>4</w:t>
      </w:r>
      <w:r w:rsidRPr="000F298D">
        <w:rPr>
          <w:rFonts w:ascii="AvenirNext LT Pro Cn" w:hAnsi="AvenirNext LT Pro Cn"/>
          <w:b/>
          <w:sz w:val="36"/>
          <w:szCs w:val="36"/>
        </w:rPr>
        <w:t xml:space="preserve"> – DELAI DE LIVRAISON -  </w:t>
      </w:r>
      <w:r w:rsidR="00672AA7">
        <w:rPr>
          <w:rFonts w:ascii="AvenirNext LT Pro Cn" w:hAnsi="AvenirNext LT Pro Cn"/>
          <w:b/>
          <w:sz w:val="36"/>
          <w:szCs w:val="36"/>
        </w:rPr>
        <w:t>5</w:t>
      </w:r>
      <w:r w:rsidRPr="000F298D">
        <w:rPr>
          <w:rFonts w:ascii="AvenirNext LT Pro Cn" w:hAnsi="AvenirNext LT Pro Cn"/>
          <w:b/>
          <w:sz w:val="36"/>
          <w:szCs w:val="36"/>
        </w:rPr>
        <w:t>%</w:t>
      </w:r>
    </w:p>
    <w:p w14:paraId="2AA0F344" w14:textId="77777777" w:rsidR="00497735" w:rsidRPr="000F298D" w:rsidRDefault="00497735" w:rsidP="00662906">
      <w:pPr>
        <w:rPr>
          <w:rFonts w:ascii="AvenirNext LT Pro Cn" w:hAnsi="AvenirNext LT Pro Cn" w:cstheme="minorHAnsi"/>
          <w:b/>
          <w:sz w:val="36"/>
          <w:szCs w:val="36"/>
        </w:rPr>
      </w:pPr>
    </w:p>
    <w:p w14:paraId="7BA14480" w14:textId="77777777" w:rsidR="00497735" w:rsidRPr="000F298D" w:rsidRDefault="00497735" w:rsidP="00497735">
      <w:pPr>
        <w:pStyle w:val="Paragraphedeliste"/>
        <w:ind w:left="0"/>
        <w:rPr>
          <w:rFonts w:ascii="AvenirNext LT Pro Cn" w:hAnsi="AvenirNext LT Pro Cn"/>
        </w:rPr>
      </w:pPr>
      <w:r w:rsidRPr="000F298D">
        <w:rPr>
          <w:rFonts w:ascii="AvenirNext LT Pro Cn" w:hAnsi="AvenirNext LT Pro Cn"/>
        </w:rPr>
        <w:t>Le soumissionnaire présente dans cette partie le délai de livraison de l’équipement scientifique</w:t>
      </w:r>
    </w:p>
    <w:p w14:paraId="74CDE9AB" w14:textId="77777777" w:rsidR="00662906" w:rsidRPr="000F298D" w:rsidRDefault="00662906" w:rsidP="00662906">
      <w:pPr>
        <w:rPr>
          <w:rFonts w:ascii="AvenirNext LT Pro Cn" w:hAnsi="AvenirNext LT Pro Cn" w:cstheme="minorHAnsi"/>
          <w:b/>
          <w:sz w:val="36"/>
          <w:szCs w:val="36"/>
        </w:rPr>
      </w:pPr>
    </w:p>
    <w:p w14:paraId="1A8A390A" w14:textId="77777777" w:rsidR="00662906" w:rsidRPr="000F298D" w:rsidRDefault="00662906" w:rsidP="00662906">
      <w:pPr>
        <w:rPr>
          <w:rFonts w:ascii="AvenirNext LT Pro Cn" w:hAnsi="AvenirNext LT Pro Cn"/>
          <w:b/>
          <w:sz w:val="36"/>
          <w:szCs w:val="36"/>
        </w:rPr>
      </w:pPr>
    </w:p>
    <w:p w14:paraId="43BAE81C" w14:textId="77777777" w:rsidR="00662906" w:rsidRPr="000F298D" w:rsidRDefault="00662906" w:rsidP="00662906">
      <w:pPr>
        <w:rPr>
          <w:rFonts w:ascii="AvenirNext LT Pro Cn" w:hAnsi="AvenirNext LT Pro Cn"/>
          <w:b/>
          <w:sz w:val="36"/>
          <w:szCs w:val="36"/>
        </w:rPr>
      </w:pPr>
    </w:p>
    <w:p w14:paraId="74674BD7" w14:textId="77777777" w:rsidR="00662906" w:rsidRPr="000F298D" w:rsidRDefault="00662906" w:rsidP="00662906">
      <w:pPr>
        <w:rPr>
          <w:rFonts w:ascii="AvenirNext LT Pro Cn" w:hAnsi="AvenirNext LT Pro Cn"/>
          <w:b/>
          <w:sz w:val="36"/>
          <w:szCs w:val="36"/>
        </w:rPr>
      </w:pPr>
    </w:p>
    <w:p w14:paraId="39D576DC" w14:textId="77777777" w:rsidR="00662906" w:rsidRPr="000F298D" w:rsidRDefault="00662906" w:rsidP="00662906">
      <w:pPr>
        <w:rPr>
          <w:rFonts w:ascii="AvenirNext LT Pro Cn" w:hAnsi="AvenirNext LT Pro Cn"/>
          <w:b/>
          <w:sz w:val="36"/>
          <w:szCs w:val="36"/>
        </w:rPr>
      </w:pPr>
    </w:p>
    <w:p w14:paraId="4D3DA439" w14:textId="77777777" w:rsidR="00662906" w:rsidRPr="000F298D" w:rsidRDefault="00662906" w:rsidP="00662906">
      <w:pPr>
        <w:rPr>
          <w:rFonts w:ascii="AvenirNext LT Pro Cn" w:hAnsi="AvenirNext LT Pro Cn"/>
          <w:b/>
          <w:sz w:val="36"/>
          <w:szCs w:val="36"/>
        </w:rPr>
      </w:pPr>
    </w:p>
    <w:p w14:paraId="50D1F16D" w14:textId="77777777" w:rsidR="00662906" w:rsidRPr="000F298D" w:rsidRDefault="00662906" w:rsidP="00662906">
      <w:pPr>
        <w:rPr>
          <w:rFonts w:ascii="AvenirNext LT Pro Cn" w:hAnsi="AvenirNext LT Pro Cn"/>
          <w:b/>
          <w:sz w:val="36"/>
          <w:szCs w:val="36"/>
        </w:rPr>
      </w:pPr>
    </w:p>
    <w:p w14:paraId="2127D0D2" w14:textId="77777777" w:rsidR="00662906" w:rsidRPr="000F298D" w:rsidRDefault="00662906" w:rsidP="00662906">
      <w:pPr>
        <w:rPr>
          <w:rFonts w:ascii="AvenirNext LT Pro Cn" w:hAnsi="AvenirNext LT Pro Cn"/>
          <w:b/>
          <w:sz w:val="36"/>
          <w:szCs w:val="36"/>
        </w:rPr>
      </w:pPr>
    </w:p>
    <w:p w14:paraId="0F82C330" w14:textId="77777777" w:rsidR="00662906" w:rsidRPr="000F298D" w:rsidRDefault="00662906" w:rsidP="00662906">
      <w:pPr>
        <w:rPr>
          <w:rFonts w:ascii="AvenirNext LT Pro Cn" w:hAnsi="AvenirNext LT Pro Cn"/>
          <w:b/>
          <w:sz w:val="36"/>
          <w:szCs w:val="36"/>
        </w:rPr>
      </w:pPr>
    </w:p>
    <w:p w14:paraId="2686B313" w14:textId="77777777" w:rsidR="00662906" w:rsidRPr="000F298D" w:rsidRDefault="00662906" w:rsidP="00662906">
      <w:pPr>
        <w:rPr>
          <w:rFonts w:ascii="AvenirNext LT Pro Cn" w:hAnsi="AvenirNext LT Pro Cn"/>
          <w:b/>
          <w:sz w:val="36"/>
          <w:szCs w:val="36"/>
        </w:rPr>
      </w:pPr>
    </w:p>
    <w:p w14:paraId="1890A0F1" w14:textId="77777777" w:rsidR="00662906" w:rsidRPr="000F298D" w:rsidRDefault="00662906" w:rsidP="00662906">
      <w:pPr>
        <w:rPr>
          <w:rFonts w:ascii="AvenirNext LT Pro Cn" w:hAnsi="AvenirNext LT Pro Cn"/>
          <w:b/>
          <w:sz w:val="36"/>
          <w:szCs w:val="36"/>
        </w:rPr>
      </w:pPr>
    </w:p>
    <w:p w14:paraId="7F7B0A80" w14:textId="77777777" w:rsidR="00662906" w:rsidRPr="000F298D" w:rsidRDefault="00662906" w:rsidP="00662906">
      <w:pPr>
        <w:rPr>
          <w:rFonts w:ascii="AvenirNext LT Pro Cn" w:hAnsi="AvenirNext LT Pro Cn"/>
          <w:b/>
          <w:sz w:val="36"/>
          <w:szCs w:val="36"/>
        </w:rPr>
      </w:pPr>
    </w:p>
    <w:p w14:paraId="2E4EBF3F" w14:textId="77777777" w:rsidR="00497735" w:rsidRPr="000F298D" w:rsidRDefault="00497735">
      <w:pPr>
        <w:rPr>
          <w:rFonts w:ascii="AvenirNext LT Pro Cn" w:hAnsi="AvenirNext LT Pro Cn"/>
          <w:b/>
          <w:sz w:val="36"/>
          <w:szCs w:val="36"/>
        </w:rPr>
      </w:pPr>
      <w:r w:rsidRPr="000F298D">
        <w:rPr>
          <w:rFonts w:ascii="AvenirNext LT Pro Cn" w:hAnsi="AvenirNext LT Pro Cn"/>
          <w:b/>
          <w:sz w:val="36"/>
          <w:szCs w:val="36"/>
        </w:rPr>
        <w:br w:type="page"/>
      </w:r>
    </w:p>
    <w:p w14:paraId="1E0B9959" w14:textId="2236360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3A1FF7">
        <w:rPr>
          <w:rFonts w:ascii="AvenirNext LT Pro Cn" w:hAnsi="AvenirNext LT Pro Cn"/>
          <w:b/>
          <w:sz w:val="36"/>
          <w:szCs w:val="36"/>
        </w:rPr>
        <w:t>5</w:t>
      </w:r>
      <w:r w:rsidRPr="000F298D">
        <w:rPr>
          <w:rFonts w:ascii="AvenirNext LT Pro Cn" w:hAnsi="AvenirNext LT Pro Cn"/>
          <w:b/>
          <w:sz w:val="36"/>
          <w:szCs w:val="36"/>
        </w:rPr>
        <w:t xml:space="preserve"> – PROPOSITIONS DU SOUMISSIONNAIRE EN MATIERE ENVIRONNEMENTALE- 10%</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7777777" w:rsidR="001E240F" w:rsidRPr="000F298D" w:rsidRDefault="001E240F" w:rsidP="00340BD2">
            <w:pPr>
              <w:spacing w:before="120" w:after="120"/>
              <w:jc w:val="both"/>
              <w:rPr>
                <w:rFonts w:ascii="AvenirNext LT Pro Cn" w:hAnsi="AvenirNext LT Pro Cn"/>
                <w:b/>
                <w:sz w:val="24"/>
                <w:szCs w:val="24"/>
              </w:rPr>
            </w:pPr>
            <w:r w:rsidRPr="000F298D">
              <w:rPr>
                <w:rFonts w:ascii="AvenirNext LT Pro Cn" w:hAnsi="AvenirNext LT Pro Cn"/>
                <w:b/>
                <w:sz w:val="24"/>
                <w:szCs w:val="24"/>
              </w:rPr>
              <w:t>Consommation fluides</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 matériel prévoit-il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 matériel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Electricité Kw/heure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616BA986" w14:textId="77777777"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l'appareil afin de limiter les consommations?</w:t>
            </w: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77777777" w:rsidR="001E240F" w:rsidRPr="000F298D" w:rsidRDefault="00340BD2" w:rsidP="00340BD2">
            <w:pPr>
              <w:spacing w:before="120" w:after="120"/>
              <w:jc w:val="both"/>
              <w:rPr>
                <w:rFonts w:ascii="AvenirNext LT Pro Cn" w:hAnsi="AvenirNext LT Pro Cn" w:cstheme="minorHAnsi"/>
                <w:b/>
                <w:sz w:val="36"/>
                <w:szCs w:val="36"/>
              </w:rPr>
            </w:pPr>
            <w:r w:rsidRPr="000F298D">
              <w:rPr>
                <w:rFonts w:ascii="AvenirNext LT Pro Cn" w:hAnsi="AvenirNext LT Pro Cn"/>
                <w:b/>
                <w:sz w:val="24"/>
                <w:szCs w:val="24"/>
              </w:rPr>
              <w:t>Gestion des consommables/déchets/outillages</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1E240F" w:rsidRPr="000F298D" w14:paraId="3EE54CEE" w14:textId="77777777" w:rsidTr="001E240F">
        <w:tc>
          <w:tcPr>
            <w:tcW w:w="4531" w:type="dxa"/>
          </w:tcPr>
          <w:p w14:paraId="1B5A582F" w14:textId="77777777" w:rsidR="001E240F"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vie par consommables utilisés (en nombre d’heure d’utilisation ou en nombre de cycle d’utilisation)</w:t>
            </w:r>
          </w:p>
          <w:p w14:paraId="73F5CE25" w14:textId="77777777" w:rsidR="00112F5B" w:rsidRPr="00112F5B" w:rsidRDefault="00112F5B" w:rsidP="00112F5B">
            <w:pPr>
              <w:autoSpaceDE w:val="0"/>
              <w:autoSpaceDN w:val="0"/>
              <w:adjustRightInd w:val="0"/>
              <w:jc w:val="both"/>
              <w:rPr>
                <w:rFonts w:ascii="AvenirNext LT Pro Cn" w:hAnsi="AvenirNext LT Pro Cn" w:cstheme="minorHAnsi"/>
                <w:bCs/>
              </w:rPr>
            </w:pPr>
            <w:r w:rsidRPr="00112F5B">
              <w:rPr>
                <w:rFonts w:ascii="AvenirNext LT Pro Cn" w:hAnsi="AvenirNext LT Pro Cn" w:cstheme="minorHAnsi"/>
                <w:bCs/>
              </w:rPr>
              <w:t>Les puits non utilisés d’une plaque d’origine sont-ils utilisables ultérieurement ?</w:t>
            </w:r>
          </w:p>
          <w:p w14:paraId="51C39487" w14:textId="01DD217D" w:rsidR="00112F5B" w:rsidRPr="000F298D" w:rsidRDefault="00112F5B" w:rsidP="00340BD2">
            <w:pPr>
              <w:spacing w:before="120"/>
              <w:jc w:val="both"/>
              <w:rPr>
                <w:rFonts w:ascii="AvenirNext LT Pro Cn" w:hAnsi="AvenirNext LT Pro Cn" w:cstheme="minorHAnsi"/>
              </w:rPr>
            </w:pPr>
          </w:p>
        </w:tc>
        <w:tc>
          <w:tcPr>
            <w:tcW w:w="4531" w:type="dxa"/>
          </w:tcPr>
          <w:p w14:paraId="5725DAAE" w14:textId="77777777" w:rsidR="001E240F" w:rsidRPr="000F298D" w:rsidRDefault="001E240F" w:rsidP="001E240F">
            <w:pPr>
              <w:jc w:val="both"/>
              <w:rPr>
                <w:rFonts w:ascii="AvenirNext LT Pro Cn" w:hAnsi="AvenirNext LT Pro Cn" w:cstheme="minorHAnsi"/>
              </w:rPr>
            </w:pPr>
          </w:p>
          <w:p w14:paraId="624324AB" w14:textId="77777777" w:rsidR="00340BD2" w:rsidRPr="000F298D" w:rsidRDefault="00340BD2" w:rsidP="001E240F">
            <w:pPr>
              <w:jc w:val="both"/>
              <w:rPr>
                <w:rFonts w:ascii="AvenirNext LT Pro Cn" w:hAnsi="AvenirNext LT Pro Cn" w:cstheme="minorHAnsi"/>
              </w:rPr>
            </w:pPr>
          </w:p>
          <w:p w14:paraId="44E29DB2" w14:textId="77777777" w:rsidR="00340BD2" w:rsidRPr="000F298D" w:rsidRDefault="00340BD2" w:rsidP="001E240F">
            <w:pPr>
              <w:jc w:val="both"/>
              <w:rPr>
                <w:rFonts w:ascii="AvenirNext LT Pro Cn" w:hAnsi="AvenirNext LT Pro Cn" w:cstheme="minorHAnsi"/>
              </w:rPr>
            </w:pPr>
          </w:p>
          <w:p w14:paraId="44C88CE1" w14:textId="77777777" w:rsidR="00340BD2" w:rsidRPr="000F298D" w:rsidRDefault="00340BD2" w:rsidP="001E240F">
            <w:pPr>
              <w:jc w:val="both"/>
              <w:rPr>
                <w:rFonts w:ascii="AvenirNext LT Pro Cn" w:hAnsi="AvenirNext LT Pro Cn" w:cstheme="minorHAnsi"/>
              </w:rPr>
            </w:pPr>
          </w:p>
          <w:p w14:paraId="5CD17E0F" w14:textId="77777777" w:rsidR="00340BD2" w:rsidRPr="000F298D" w:rsidRDefault="00340BD2" w:rsidP="001E240F">
            <w:pPr>
              <w:jc w:val="both"/>
              <w:rPr>
                <w:rFonts w:ascii="AvenirNext LT Pro Cn" w:hAnsi="AvenirNext LT Pro Cn" w:cstheme="minorHAnsi"/>
              </w:rPr>
            </w:pPr>
          </w:p>
          <w:p w14:paraId="6BDDFBFC" w14:textId="77777777" w:rsidR="00340BD2" w:rsidRPr="000F298D" w:rsidRDefault="00340BD2" w:rsidP="001E240F">
            <w:pPr>
              <w:jc w:val="both"/>
              <w:rPr>
                <w:rFonts w:ascii="AvenirNext LT Pro Cn" w:hAnsi="AvenirNext LT Pro Cn" w:cstheme="minorHAnsi"/>
              </w:rPr>
            </w:pPr>
          </w:p>
          <w:p w14:paraId="3E18DA06" w14:textId="77777777" w:rsidR="00340BD2" w:rsidRPr="000F298D" w:rsidRDefault="00340BD2" w:rsidP="001E240F">
            <w:pPr>
              <w:jc w:val="both"/>
              <w:rPr>
                <w:rFonts w:ascii="AvenirNext LT Pro Cn" w:hAnsi="AvenirNext LT Pro Cn" w:cstheme="minorHAnsi"/>
              </w:rPr>
            </w:pPr>
          </w:p>
          <w:p w14:paraId="5A70EC2C" w14:textId="77777777" w:rsidR="00340BD2" w:rsidRPr="000F298D" w:rsidRDefault="00340BD2" w:rsidP="001E240F">
            <w:pPr>
              <w:jc w:val="both"/>
              <w:rPr>
                <w:rFonts w:ascii="AvenirNext LT Pro Cn" w:hAnsi="AvenirNext LT Pro Cn" w:cstheme="minorHAnsi"/>
              </w:rPr>
            </w:pPr>
          </w:p>
          <w:p w14:paraId="39214594" w14:textId="77777777" w:rsidR="00340BD2" w:rsidRPr="000F298D" w:rsidRDefault="00340BD2" w:rsidP="001E240F">
            <w:pPr>
              <w:jc w:val="both"/>
              <w:rPr>
                <w:rFonts w:ascii="AvenirNext LT Pro Cn" w:hAnsi="AvenirNext LT Pro Cn" w:cstheme="minorHAnsi"/>
              </w:rPr>
            </w:pPr>
          </w:p>
          <w:p w14:paraId="4C770054" w14:textId="77777777" w:rsidR="00340BD2" w:rsidRPr="000F298D" w:rsidRDefault="00340BD2" w:rsidP="001E240F">
            <w:pPr>
              <w:jc w:val="both"/>
              <w:rPr>
                <w:rFonts w:ascii="AvenirNext LT Pro Cn" w:hAnsi="AvenirNext LT Pro Cn" w:cstheme="minorHAnsi"/>
              </w:rPr>
            </w:pPr>
          </w:p>
          <w:p w14:paraId="0C546DE3" w14:textId="77777777" w:rsidR="00340BD2" w:rsidRPr="000F298D" w:rsidRDefault="00340BD2" w:rsidP="001E240F">
            <w:pPr>
              <w:jc w:val="both"/>
              <w:rPr>
                <w:rFonts w:ascii="AvenirNext LT Pro Cn" w:hAnsi="AvenirNext LT Pro Cn" w:cstheme="minorHAnsi"/>
              </w:rPr>
            </w:pPr>
          </w:p>
          <w:p w14:paraId="1E084900" w14:textId="77777777" w:rsidR="00340BD2" w:rsidRPr="000F298D" w:rsidRDefault="00340BD2" w:rsidP="001E240F">
            <w:pPr>
              <w:jc w:val="both"/>
              <w:rPr>
                <w:rFonts w:ascii="AvenirNext LT Pro Cn" w:hAnsi="AvenirNext LT Pro Cn" w:cstheme="minorHAnsi"/>
              </w:rPr>
            </w:pPr>
          </w:p>
        </w:tc>
      </w:tr>
      <w:tr w:rsidR="00340BD2" w:rsidRPr="000F298D" w14:paraId="7BFC7F0C" w14:textId="77777777" w:rsidTr="001E240F">
        <w:tc>
          <w:tcPr>
            <w:tcW w:w="4531" w:type="dxa"/>
          </w:tcPr>
          <w:p w14:paraId="7DC52EAF"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 Comment comptez-vous limiter l’impact environnemental de vos livraisons des consommables? </w:t>
            </w:r>
          </w:p>
        </w:tc>
        <w:tc>
          <w:tcPr>
            <w:tcW w:w="4531" w:type="dxa"/>
          </w:tcPr>
          <w:p w14:paraId="109CE2D1" w14:textId="77777777" w:rsidR="00340BD2" w:rsidRPr="000F298D" w:rsidRDefault="00340BD2" w:rsidP="001E240F">
            <w:pPr>
              <w:jc w:val="both"/>
              <w:rPr>
                <w:rFonts w:ascii="AvenirNext LT Pro Cn" w:hAnsi="AvenirNext LT Pro Cn" w:cstheme="minorHAnsi"/>
              </w:rPr>
            </w:pPr>
          </w:p>
          <w:p w14:paraId="6DB62D7C" w14:textId="77777777" w:rsidR="00340BD2" w:rsidRPr="000F298D" w:rsidRDefault="00340BD2" w:rsidP="001E240F">
            <w:pPr>
              <w:jc w:val="both"/>
              <w:rPr>
                <w:rFonts w:ascii="AvenirNext LT Pro Cn" w:hAnsi="AvenirNext LT Pro Cn" w:cstheme="minorHAnsi"/>
              </w:rPr>
            </w:pPr>
          </w:p>
          <w:p w14:paraId="00FBEBC8" w14:textId="77777777" w:rsidR="00340BD2" w:rsidRPr="000F298D" w:rsidRDefault="00340BD2" w:rsidP="001E240F">
            <w:pPr>
              <w:jc w:val="both"/>
              <w:rPr>
                <w:rFonts w:ascii="AvenirNext LT Pro Cn" w:hAnsi="AvenirNext LT Pro Cn" w:cstheme="minorHAnsi"/>
              </w:rPr>
            </w:pPr>
          </w:p>
          <w:p w14:paraId="5B910357" w14:textId="77777777" w:rsidR="00340BD2" w:rsidRPr="000F298D" w:rsidRDefault="00340BD2" w:rsidP="001E240F">
            <w:pPr>
              <w:jc w:val="both"/>
              <w:rPr>
                <w:rFonts w:ascii="AvenirNext LT Pro Cn" w:hAnsi="AvenirNext LT Pro Cn" w:cstheme="minorHAnsi"/>
              </w:rPr>
            </w:pPr>
          </w:p>
          <w:p w14:paraId="6539F679" w14:textId="77777777" w:rsidR="00340BD2" w:rsidRPr="000F298D" w:rsidRDefault="00340BD2" w:rsidP="001E240F">
            <w:pPr>
              <w:jc w:val="both"/>
              <w:rPr>
                <w:rFonts w:ascii="AvenirNext LT Pro Cn" w:hAnsi="AvenirNext LT Pro Cn" w:cstheme="minorHAnsi"/>
              </w:rPr>
            </w:pPr>
          </w:p>
          <w:p w14:paraId="7BB16B67" w14:textId="77777777" w:rsidR="00340BD2" w:rsidRPr="000F298D" w:rsidRDefault="00340BD2" w:rsidP="001E240F">
            <w:pPr>
              <w:jc w:val="both"/>
              <w:rPr>
                <w:rFonts w:ascii="AvenirNext LT Pro Cn" w:hAnsi="AvenirNext LT Pro Cn" w:cstheme="minorHAnsi"/>
              </w:rPr>
            </w:pPr>
          </w:p>
          <w:p w14:paraId="60723A63" w14:textId="77777777" w:rsidR="00340BD2" w:rsidRPr="000F298D" w:rsidRDefault="00340BD2" w:rsidP="001E240F">
            <w:pPr>
              <w:jc w:val="both"/>
              <w:rPr>
                <w:rFonts w:ascii="AvenirNext LT Pro Cn" w:hAnsi="AvenirNext LT Pro Cn" w:cstheme="minorHAnsi"/>
              </w:rPr>
            </w:pPr>
          </w:p>
          <w:p w14:paraId="1936DE6E" w14:textId="77777777" w:rsidR="00340BD2" w:rsidRPr="000F298D" w:rsidRDefault="00340BD2" w:rsidP="001E240F">
            <w:pPr>
              <w:jc w:val="both"/>
              <w:rPr>
                <w:rFonts w:ascii="AvenirNext LT Pro Cn" w:hAnsi="AvenirNext LT Pro Cn" w:cstheme="minorHAnsi"/>
              </w:rPr>
            </w:pPr>
          </w:p>
          <w:p w14:paraId="68FFDC1A" w14:textId="77777777" w:rsidR="00340BD2" w:rsidRPr="000F298D" w:rsidRDefault="00340BD2" w:rsidP="001E240F">
            <w:pPr>
              <w:jc w:val="both"/>
              <w:rPr>
                <w:rFonts w:ascii="AvenirNext LT Pro Cn" w:hAnsi="AvenirNext LT Pro Cn" w:cstheme="minorHAnsi"/>
              </w:rPr>
            </w:pPr>
          </w:p>
          <w:p w14:paraId="3AABCFDA" w14:textId="77777777" w:rsidR="00340BD2" w:rsidRPr="000F298D" w:rsidRDefault="00340BD2" w:rsidP="001E240F">
            <w:pPr>
              <w:jc w:val="both"/>
              <w:rPr>
                <w:rFonts w:ascii="AvenirNext LT Pro Cn" w:hAnsi="AvenirNext LT Pro Cn" w:cstheme="minorHAnsi"/>
              </w:rPr>
            </w:pPr>
          </w:p>
          <w:p w14:paraId="6C51A214" w14:textId="77777777" w:rsidR="00340BD2" w:rsidRPr="000F298D" w:rsidRDefault="00340BD2" w:rsidP="001E240F">
            <w:pPr>
              <w:jc w:val="both"/>
              <w:rPr>
                <w:rFonts w:ascii="AvenirNext LT Pro Cn" w:hAnsi="AvenirNext LT Pro Cn" w:cstheme="minorHAnsi"/>
              </w:rPr>
            </w:pPr>
          </w:p>
          <w:p w14:paraId="12C3C8D6" w14:textId="77777777" w:rsidR="00340BD2" w:rsidRPr="000F298D" w:rsidRDefault="00340BD2" w:rsidP="001E240F">
            <w:pPr>
              <w:jc w:val="both"/>
              <w:rPr>
                <w:rFonts w:ascii="AvenirNext LT Pro Cn" w:hAnsi="AvenirNext LT Pro Cn" w:cstheme="minorHAnsi"/>
              </w:rPr>
            </w:pP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77777777" w:rsidR="00340BD2" w:rsidRPr="000F298D" w:rsidRDefault="00340BD2" w:rsidP="00340BD2">
            <w:pPr>
              <w:spacing w:before="120" w:after="120"/>
              <w:jc w:val="both"/>
              <w:rPr>
                <w:rFonts w:ascii="AvenirNext LT Pro Cn" w:hAnsi="AvenirNext LT Pro Cn" w:cs="Arial"/>
              </w:rPr>
            </w:pPr>
            <w:r w:rsidRPr="000F298D">
              <w:rPr>
                <w:rFonts w:ascii="AvenirNext LT Pro Cn" w:hAnsi="AvenirNext LT Pro Cn"/>
                <w:b/>
                <w:sz w:val="24"/>
                <w:szCs w:val="24"/>
              </w:rPr>
              <w:t>Formation</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77777777" w:rsidR="00340BD2" w:rsidRPr="000F298D" w:rsidRDefault="00340BD2" w:rsidP="009B39F4">
            <w:pPr>
              <w:spacing w:before="120" w:after="120"/>
              <w:jc w:val="both"/>
              <w:rPr>
                <w:rFonts w:ascii="AvenirNext LT Pro Cn" w:hAnsi="AvenirNext LT Pro Cn"/>
                <w:b/>
                <w:sz w:val="24"/>
                <w:szCs w:val="24"/>
              </w:rPr>
            </w:pPr>
            <w:r w:rsidRPr="000F298D">
              <w:rPr>
                <w:rFonts w:ascii="AvenirNext LT Pro Cn" w:hAnsi="AvenirNext LT Pro Cn"/>
                <w:b/>
                <w:sz w:val="24"/>
                <w:szCs w:val="24"/>
              </w:rPr>
              <w:t>Fin de vie de l’appareil</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 l'appareil (recyclage, reconditionnement, revente d'occasion...)?</w:t>
            </w:r>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0E68426F" w14:textId="77777777" w:rsidR="009347E0" w:rsidRPr="000F298D" w:rsidRDefault="009347E0">
      <w:pPr>
        <w:rPr>
          <w:rFonts w:ascii="AvenirNext LT Pro Cn" w:hAnsi="AvenirNext LT Pro Cn"/>
        </w:rPr>
      </w:pPr>
      <w:r w:rsidRPr="000F298D">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2" w:name="_Toc427326890"/>
      <w:bookmarkStart w:id="3" w:name="_Toc130287928"/>
      <w:r w:rsidRPr="000F298D">
        <w:rPr>
          <w:rFonts w:ascii="AvenirNext LT Pro Cn" w:hAnsi="AvenirNext LT Pro Cn" w:cstheme="minorHAnsi"/>
          <w:b/>
          <w:sz w:val="36"/>
          <w:szCs w:val="36"/>
        </w:rPr>
        <w:t>Informations complémentaires</w:t>
      </w:r>
      <w:bookmarkEnd w:id="2"/>
      <w:bookmarkEnd w:id="3"/>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4" w:name="_Toc483304342"/>
      <w:bookmarkStart w:id="5" w:name="_Toc199231710"/>
    </w:p>
    <w:bookmarkEnd w:id="4"/>
    <w:bookmarkEnd w:id="5"/>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2A4A3B7C" w:rsidR="009347E0" w:rsidRPr="000F298D" w:rsidRDefault="009347E0" w:rsidP="009347E0">
      <w:pPr>
        <w:rPr>
          <w:rFonts w:ascii="AvenirNext LT Pro Cn" w:hAnsi="AvenirNext LT Pro Cn"/>
        </w:rPr>
      </w:pPr>
    </w:p>
    <w:sectPr w:rsidR="009347E0" w:rsidRPr="000F29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AB85" w14:textId="77777777" w:rsidR="00672AA7" w:rsidRDefault="00672AA7" w:rsidP="00672AA7">
      <w:pPr>
        <w:spacing w:after="0" w:line="240" w:lineRule="auto"/>
      </w:pPr>
      <w:r>
        <w:separator/>
      </w:r>
    </w:p>
  </w:endnote>
  <w:endnote w:type="continuationSeparator" w:id="0">
    <w:p w14:paraId="20AA4EAF" w14:textId="77777777" w:rsidR="00672AA7" w:rsidRDefault="00672AA7" w:rsidP="00672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Next LT Pro Cn">
    <w:altName w:val="Calibri"/>
    <w:panose1 w:val="020B0506020202020204"/>
    <w:charset w:val="00"/>
    <w:family w:val="swiss"/>
    <w:notTrueType/>
    <w:pitch w:val="variable"/>
    <w:sig w:usb0="800000A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920A6" w14:textId="77777777" w:rsidR="00672AA7" w:rsidRDefault="00672AA7" w:rsidP="00672AA7">
      <w:pPr>
        <w:spacing w:after="0" w:line="240" w:lineRule="auto"/>
      </w:pPr>
      <w:r>
        <w:separator/>
      </w:r>
    </w:p>
  </w:footnote>
  <w:footnote w:type="continuationSeparator" w:id="0">
    <w:p w14:paraId="3A2D39FF" w14:textId="77777777" w:rsidR="00672AA7" w:rsidRDefault="00672AA7" w:rsidP="00672A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9132A42"/>
    <w:multiLevelType w:val="hybridMultilevel"/>
    <w:tmpl w:val="BA48DFE2"/>
    <w:lvl w:ilvl="0" w:tplc="7FB6D342">
      <w:start w:val="4"/>
      <w:numFmt w:val="bullet"/>
      <w:lvlText w:val="-"/>
      <w:lvlJc w:val="left"/>
      <w:pPr>
        <w:ind w:left="1440" w:hanging="360"/>
      </w:pPr>
      <w:rPr>
        <w:rFonts w:ascii="Arial Narrow" w:eastAsia="Times New Roman" w:hAnsi="Arial Narro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776B6B"/>
    <w:multiLevelType w:val="hybridMultilevel"/>
    <w:tmpl w:val="4C1C44D2"/>
    <w:lvl w:ilvl="0" w:tplc="7FB6D342">
      <w:start w:val="4"/>
      <w:numFmt w:val="bullet"/>
      <w:lvlText w:val="-"/>
      <w:lvlJc w:val="left"/>
      <w:pPr>
        <w:ind w:left="1854" w:hanging="360"/>
      </w:pPr>
      <w:rPr>
        <w:rFonts w:ascii="Arial Narrow" w:eastAsia="Times New Roman"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326928E4"/>
    <w:multiLevelType w:val="hybridMultilevel"/>
    <w:tmpl w:val="C42C464E"/>
    <w:lvl w:ilvl="0" w:tplc="7FB6D342">
      <w:start w:val="4"/>
      <w:numFmt w:val="bullet"/>
      <w:lvlText w:val="-"/>
      <w:lvlJc w:val="left"/>
      <w:pPr>
        <w:ind w:left="1440" w:hanging="360"/>
      </w:pPr>
      <w:rPr>
        <w:rFonts w:ascii="Arial Narrow" w:eastAsia="Times New Roman" w:hAnsi="Arial Narrow" w:hint="default"/>
      </w:rPr>
    </w:lvl>
    <w:lvl w:ilvl="1" w:tplc="7FB6D342">
      <w:start w:val="4"/>
      <w:numFmt w:val="bullet"/>
      <w:lvlText w:val="-"/>
      <w:lvlJc w:val="left"/>
      <w:pPr>
        <w:ind w:left="2160" w:hanging="360"/>
      </w:pPr>
      <w:rPr>
        <w:rFonts w:ascii="Arial Narrow" w:eastAsia="Times New Roman" w:hAnsi="Arial Narro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8715339"/>
    <w:multiLevelType w:val="hybridMultilevel"/>
    <w:tmpl w:val="08AE63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DD16E6"/>
    <w:multiLevelType w:val="hybridMultilevel"/>
    <w:tmpl w:val="4D9820AC"/>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7144F0"/>
    <w:multiLevelType w:val="hybridMultilevel"/>
    <w:tmpl w:val="046C036E"/>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E33718"/>
    <w:multiLevelType w:val="hybridMultilevel"/>
    <w:tmpl w:val="A7447CE0"/>
    <w:lvl w:ilvl="0" w:tplc="7FB6D342">
      <w:start w:val="4"/>
      <w:numFmt w:val="bullet"/>
      <w:lvlText w:val="-"/>
      <w:lvlJc w:val="left"/>
      <w:pPr>
        <w:ind w:left="720" w:hanging="360"/>
      </w:pPr>
      <w:rPr>
        <w:rFonts w:ascii="Arial Narrow" w:eastAsia="Times New Roman" w:hAnsi="Arial Narrow" w:hint="default"/>
      </w:rPr>
    </w:lvl>
    <w:lvl w:ilvl="1" w:tplc="7FB6D342">
      <w:start w:val="4"/>
      <w:numFmt w:val="bullet"/>
      <w:lvlText w:val="-"/>
      <w:lvlJc w:val="left"/>
      <w:pPr>
        <w:ind w:left="1440" w:hanging="360"/>
      </w:pPr>
      <w:rPr>
        <w:rFonts w:ascii="Arial Narrow" w:eastAsia="Times New Roman" w:hAnsi="Arial 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A571DA"/>
    <w:multiLevelType w:val="hybridMultilevel"/>
    <w:tmpl w:val="EE8E83EC"/>
    <w:lvl w:ilvl="0" w:tplc="7FB6D342">
      <w:start w:val="4"/>
      <w:numFmt w:val="bullet"/>
      <w:lvlText w:val="-"/>
      <w:lvlJc w:val="left"/>
      <w:pPr>
        <w:ind w:left="720" w:hanging="360"/>
      </w:pPr>
      <w:rPr>
        <w:rFonts w:ascii="Arial Narrow" w:eastAsia="Times New Roman" w:hAnsi="Arial Narrow" w:hint="default"/>
      </w:rPr>
    </w:lvl>
    <w:lvl w:ilvl="1" w:tplc="7FB6D342">
      <w:start w:val="4"/>
      <w:numFmt w:val="bullet"/>
      <w:lvlText w:val="-"/>
      <w:lvlJc w:val="left"/>
      <w:pPr>
        <w:ind w:left="1440" w:hanging="360"/>
      </w:pPr>
      <w:rPr>
        <w:rFonts w:ascii="Arial Narrow" w:eastAsia="Times New Roman" w:hAnsi="Arial 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9"/>
  </w:num>
  <w:num w:numId="5">
    <w:abstractNumId w:val="8"/>
  </w:num>
  <w:num w:numId="6">
    <w:abstractNumId w:val="6"/>
  </w:num>
  <w:num w:numId="7">
    <w:abstractNumId w:val="5"/>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906"/>
    <w:rsid w:val="000C2F2A"/>
    <w:rsid w:val="000F298D"/>
    <w:rsid w:val="00112F5B"/>
    <w:rsid w:val="001771DE"/>
    <w:rsid w:val="001E240F"/>
    <w:rsid w:val="00316F9D"/>
    <w:rsid w:val="00340BD2"/>
    <w:rsid w:val="003A1FF7"/>
    <w:rsid w:val="004353A1"/>
    <w:rsid w:val="00485A86"/>
    <w:rsid w:val="00497735"/>
    <w:rsid w:val="004B0102"/>
    <w:rsid w:val="00527867"/>
    <w:rsid w:val="00662906"/>
    <w:rsid w:val="00672AA7"/>
    <w:rsid w:val="006C6370"/>
    <w:rsid w:val="006D7746"/>
    <w:rsid w:val="00742EF5"/>
    <w:rsid w:val="00792E1D"/>
    <w:rsid w:val="009347E0"/>
    <w:rsid w:val="009A06B6"/>
    <w:rsid w:val="009B39F4"/>
    <w:rsid w:val="00AA7AD2"/>
    <w:rsid w:val="00CD40D6"/>
    <w:rsid w:val="00D52824"/>
    <w:rsid w:val="00EB3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Emphaseple">
    <w:name w:val="Subtle Emphasis"/>
    <w:basedOn w:val="Policepardfaut"/>
    <w:uiPriority w:val="19"/>
    <w:qFormat/>
    <w:rsid w:val="000C2F2A"/>
    <w:rPr>
      <w:i/>
      <w:iCs/>
      <w:color w:val="404040" w:themeColor="text1" w:themeTint="BF"/>
    </w:rPr>
  </w:style>
  <w:style w:type="character" w:styleId="Emphaseintense">
    <w:name w:val="Intense Emphasis"/>
    <w:basedOn w:val="Policepardfaut"/>
    <w:uiPriority w:val="21"/>
    <w:qFormat/>
    <w:rsid w:val="000C2F2A"/>
    <w:rPr>
      <w:b w:val="0"/>
      <w:bCs w:val="0"/>
      <w:i/>
      <w:iCs/>
      <w:color w:val="4F81BD" w:themeColor="accent1"/>
    </w:rPr>
  </w:style>
  <w:style w:type="character" w:styleId="Rfrencepl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paragraph" w:styleId="En-tte">
    <w:name w:val="header"/>
    <w:basedOn w:val="Normal"/>
    <w:link w:val="En-tteCar"/>
    <w:uiPriority w:val="99"/>
    <w:unhideWhenUsed/>
    <w:rsid w:val="00672AA7"/>
    <w:pPr>
      <w:tabs>
        <w:tab w:val="center" w:pos="4536"/>
        <w:tab w:val="right" w:pos="9072"/>
      </w:tabs>
      <w:spacing w:after="0" w:line="240" w:lineRule="auto"/>
    </w:pPr>
  </w:style>
  <w:style w:type="character" w:customStyle="1" w:styleId="En-tteCar">
    <w:name w:val="En-tête Car"/>
    <w:basedOn w:val="Policepardfaut"/>
    <w:link w:val="En-tte"/>
    <w:uiPriority w:val="99"/>
    <w:rsid w:val="00672AA7"/>
  </w:style>
  <w:style w:type="paragraph" w:styleId="Pieddepage">
    <w:name w:val="footer"/>
    <w:basedOn w:val="Normal"/>
    <w:link w:val="PieddepageCar"/>
    <w:uiPriority w:val="99"/>
    <w:unhideWhenUsed/>
    <w:rsid w:val="00672A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2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883</Words>
  <Characters>4857</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INRA</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Sandra Fourrier</cp:lastModifiedBy>
  <cp:revision>8</cp:revision>
  <dcterms:created xsi:type="dcterms:W3CDTF">2025-07-09T13:17:00Z</dcterms:created>
  <dcterms:modified xsi:type="dcterms:W3CDTF">2025-07-24T15:28:00Z</dcterms:modified>
</cp:coreProperties>
</file>